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7A01" w14:textId="77777777" w:rsidR="00B81DB1" w:rsidRPr="00FB37C6" w:rsidRDefault="00B81DB1" w:rsidP="007102D8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FB37C6">
        <w:rPr>
          <w:rFonts w:eastAsia="Calibri" w:cstheme="minorHAnsi"/>
          <w:b/>
          <w:bCs/>
          <w:sz w:val="24"/>
          <w:szCs w:val="24"/>
        </w:rPr>
        <w:t>Ness City to Nekoma 115kV Transmission Line Rebuild</w:t>
      </w:r>
    </w:p>
    <w:p w14:paraId="5BE8B387" w14:textId="547273B9" w:rsidR="00617A83" w:rsidRPr="007102D8" w:rsidRDefault="009545F8" w:rsidP="007102D8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Proposal Information &amp; </w:t>
      </w:r>
      <w:r w:rsidR="007102D8" w:rsidRPr="007102D8">
        <w:rPr>
          <w:rFonts w:eastAsia="Calibri" w:cstheme="minorHAnsi"/>
          <w:sz w:val="24"/>
          <w:szCs w:val="24"/>
        </w:rPr>
        <w:t>Line Contractor Project Scope</w:t>
      </w:r>
    </w:p>
    <w:p w14:paraId="0A1C06D1" w14:textId="77777777" w:rsidR="00617A83" w:rsidRPr="007102D8" w:rsidRDefault="00617A83" w:rsidP="007E56B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C129A5B" w14:textId="01C8B870" w:rsidR="007E56B6" w:rsidRDefault="007E56B6" w:rsidP="007102D8">
      <w:pPr>
        <w:spacing w:after="0" w:line="240" w:lineRule="auto"/>
        <w:jc w:val="both"/>
        <w:rPr>
          <w:rFonts w:eastAsia="Calibri" w:cstheme="minorHAnsi"/>
        </w:rPr>
      </w:pPr>
      <w:r w:rsidRPr="007E56B6">
        <w:rPr>
          <w:rFonts w:eastAsia="Calibri" w:cstheme="minorHAnsi"/>
        </w:rPr>
        <w:t>Midwest Energy owns and operates a 115</w:t>
      </w:r>
      <w:r w:rsidR="00B81DB1">
        <w:rPr>
          <w:rFonts w:eastAsia="Calibri" w:cstheme="minorHAnsi"/>
        </w:rPr>
        <w:t>kV</w:t>
      </w:r>
      <w:r w:rsidRPr="007E56B6">
        <w:rPr>
          <w:rFonts w:eastAsia="Calibri" w:cstheme="minorHAnsi"/>
        </w:rPr>
        <w:t xml:space="preserve"> transmission line from Ness City</w:t>
      </w:r>
      <w:r w:rsidR="00B81DB1">
        <w:rPr>
          <w:rFonts w:eastAsia="Calibri" w:cstheme="minorHAnsi"/>
        </w:rPr>
        <w:t xml:space="preserve"> substation</w:t>
      </w:r>
      <w:r w:rsidRPr="007E56B6">
        <w:rPr>
          <w:rFonts w:eastAsia="Calibri" w:cstheme="minorHAnsi"/>
        </w:rPr>
        <w:t xml:space="preserve"> to Nekoma</w:t>
      </w:r>
      <w:r w:rsidR="00B81DB1">
        <w:rPr>
          <w:rFonts w:eastAsia="Calibri" w:cstheme="minorHAnsi"/>
        </w:rPr>
        <w:t xml:space="preserve"> substation</w:t>
      </w:r>
      <w:r w:rsidRPr="007E56B6">
        <w:rPr>
          <w:rFonts w:eastAsia="Calibri" w:cstheme="minorHAnsi"/>
        </w:rPr>
        <w:t>. This 25-mile line travels west to east approximately 100’ to 200’ south of Avenue O in Rush County and 160</w:t>
      </w:r>
      <w:r w:rsidRPr="007E56B6">
        <w:rPr>
          <w:rFonts w:eastAsia="Calibri" w:cstheme="minorHAnsi"/>
          <w:vertAlign w:val="superscript"/>
        </w:rPr>
        <w:t>th</w:t>
      </w:r>
      <w:r w:rsidRPr="007E56B6">
        <w:rPr>
          <w:rFonts w:eastAsia="Calibri" w:cstheme="minorHAnsi"/>
        </w:rPr>
        <w:t xml:space="preserve"> Road in Ness County.</w:t>
      </w:r>
      <w:r w:rsidR="00C52431">
        <w:rPr>
          <w:rFonts w:eastAsia="Calibri" w:cstheme="minorHAnsi"/>
        </w:rPr>
        <w:t xml:space="preserve"> The Alexander substation is tapped off the existing transmission line approximately seven miles west of the Nekoma substation.</w:t>
      </w:r>
      <w:r w:rsidRPr="007E56B6">
        <w:rPr>
          <w:rFonts w:eastAsia="Calibri" w:cstheme="minorHAnsi"/>
        </w:rPr>
        <w:t xml:space="preserve"> </w:t>
      </w:r>
      <w:r w:rsidR="00B81DB1">
        <w:rPr>
          <w:rFonts w:eastAsia="Calibri" w:cstheme="minorHAnsi"/>
        </w:rPr>
        <w:t xml:space="preserve">The contractor selected for this project will tear down and reconstruct </w:t>
      </w:r>
      <w:r w:rsidRPr="007E56B6">
        <w:rPr>
          <w:rFonts w:eastAsia="Calibri" w:cstheme="minorHAnsi"/>
        </w:rPr>
        <w:t xml:space="preserve">the line </w:t>
      </w:r>
      <w:r w:rsidR="00D956CB">
        <w:rPr>
          <w:rFonts w:eastAsia="Calibri" w:cstheme="minorHAnsi"/>
        </w:rPr>
        <w:t>on its existing path utilizing</w:t>
      </w:r>
      <w:r w:rsidRPr="007E56B6">
        <w:rPr>
          <w:rFonts w:eastAsia="Calibri" w:cstheme="minorHAnsi"/>
        </w:rPr>
        <w:t xml:space="preserve"> the original right-of-way easements. </w:t>
      </w:r>
    </w:p>
    <w:p w14:paraId="4087B786" w14:textId="77777777" w:rsidR="00FB37C6" w:rsidRDefault="00FB37C6" w:rsidP="007102D8">
      <w:pPr>
        <w:spacing w:after="0" w:line="240" w:lineRule="auto"/>
        <w:jc w:val="both"/>
        <w:rPr>
          <w:rFonts w:eastAsia="Calibri" w:cstheme="minorHAnsi"/>
        </w:rPr>
      </w:pPr>
    </w:p>
    <w:p w14:paraId="10A91452" w14:textId="77777777" w:rsidR="00FB37C6" w:rsidRDefault="00FB37C6" w:rsidP="00FB37C6">
      <w:pPr>
        <w:keepNext/>
        <w:spacing w:after="0" w:line="240" w:lineRule="auto"/>
        <w:jc w:val="both"/>
      </w:pPr>
      <w:r w:rsidRPr="00FB37C6">
        <w:rPr>
          <w:rFonts w:eastAsia="Calibri" w:cstheme="minorHAnsi"/>
          <w:noProof/>
        </w:rPr>
        <w:drawing>
          <wp:inline distT="0" distB="0" distL="0" distR="0" wp14:anchorId="61D296A7" wp14:editId="7B074BDD">
            <wp:extent cx="5943600" cy="4591685"/>
            <wp:effectExtent l="0" t="0" r="0" b="0"/>
            <wp:docPr id="1832795362" name="Picture 2" descr="A map of a rou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795362" name="Picture 2" descr="A map of a rou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A6972" w14:textId="04E5AF60" w:rsidR="00FB37C6" w:rsidRPr="00FB37C6" w:rsidRDefault="00FB37C6" w:rsidP="00FB37C6">
      <w:pPr>
        <w:pStyle w:val="Caption"/>
        <w:jc w:val="center"/>
        <w:rPr>
          <w:rFonts w:eastAsia="Calibri" w:cstheme="minorHAnsi"/>
        </w:rPr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- Map of project area</w:t>
      </w:r>
    </w:p>
    <w:p w14:paraId="2638A7D2" w14:textId="77777777" w:rsidR="00D956CB" w:rsidRDefault="00D956CB" w:rsidP="007102D8">
      <w:pPr>
        <w:spacing w:after="0" w:line="240" w:lineRule="auto"/>
        <w:jc w:val="both"/>
        <w:rPr>
          <w:rFonts w:eastAsia="Calibri" w:cstheme="minorHAnsi"/>
        </w:rPr>
      </w:pPr>
    </w:p>
    <w:p w14:paraId="5B9D708B" w14:textId="57AF58A5" w:rsidR="00D956CB" w:rsidRDefault="00D956CB" w:rsidP="007102D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This transmission line rebuild is partially funded through a grant from the U.S. Department of Energy Funding Opportunity Announcement (FOA) DE-FOA-2740. As such, certain Federal contract provisions will apply to the selected contractor. A construction contract template, including </w:t>
      </w:r>
      <w:r w:rsidR="00F6059E">
        <w:rPr>
          <w:rFonts w:cstheme="minorHAnsi"/>
        </w:rPr>
        <w:t xml:space="preserve">all </w:t>
      </w:r>
      <w:r>
        <w:rPr>
          <w:rFonts w:cstheme="minorHAnsi"/>
        </w:rPr>
        <w:t xml:space="preserve">applicable Federal </w:t>
      </w:r>
      <w:r w:rsidR="006837DD">
        <w:rPr>
          <w:rFonts w:cstheme="minorHAnsi"/>
        </w:rPr>
        <w:t>requirements,</w:t>
      </w:r>
      <w:r>
        <w:rPr>
          <w:rFonts w:cstheme="minorHAnsi"/>
        </w:rPr>
        <w:t xml:space="preserve"> is included with this bid package. Prospective bidders shall pay particular attention to</w:t>
      </w:r>
      <w:r w:rsidR="00F6059E">
        <w:rPr>
          <w:rFonts w:cstheme="minorHAnsi"/>
        </w:rPr>
        <w:t xml:space="preserve"> compliance requirements for:</w:t>
      </w:r>
    </w:p>
    <w:p w14:paraId="52D06941" w14:textId="6735D224" w:rsidR="00F6059E" w:rsidRDefault="00F6059E" w:rsidP="00F605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Davis-Bacon and Related Acts</w:t>
      </w:r>
      <w:r w:rsidR="007906A6">
        <w:rPr>
          <w:rFonts w:cstheme="minorHAnsi"/>
        </w:rPr>
        <w:t>,</w:t>
      </w:r>
    </w:p>
    <w:p w14:paraId="35EEC7EB" w14:textId="2B8A4410" w:rsidR="00F6059E" w:rsidRDefault="00F6059E" w:rsidP="00F605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Build America, Buy America Act</w:t>
      </w:r>
      <w:r w:rsidR="007906A6">
        <w:rPr>
          <w:rFonts w:cstheme="minorHAnsi"/>
        </w:rPr>
        <w:t>, and</w:t>
      </w:r>
    </w:p>
    <w:p w14:paraId="48023067" w14:textId="213E69F9" w:rsidR="00F6059E" w:rsidRDefault="00F6059E" w:rsidP="00F605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Code of Federal Regulations 2 CFR Part 200</w:t>
      </w:r>
    </w:p>
    <w:p w14:paraId="54DA319E" w14:textId="77777777" w:rsidR="00F6059E" w:rsidRDefault="00F6059E" w:rsidP="00F6059E">
      <w:pPr>
        <w:spacing w:after="0" w:line="240" w:lineRule="auto"/>
        <w:jc w:val="both"/>
        <w:rPr>
          <w:rFonts w:cstheme="minorHAnsi"/>
        </w:rPr>
      </w:pPr>
    </w:p>
    <w:p w14:paraId="109BD06D" w14:textId="27A65F15" w:rsidR="00827A4E" w:rsidRDefault="00F6059E" w:rsidP="00F6059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Additional information on these statutory requirements is publicly available. It is the bidder</w:t>
      </w:r>
      <w:r w:rsidR="006837DD">
        <w:rPr>
          <w:rFonts w:cstheme="minorHAnsi"/>
        </w:rPr>
        <w:t>’</w:t>
      </w:r>
      <w:r>
        <w:rPr>
          <w:rFonts w:cstheme="minorHAnsi"/>
        </w:rPr>
        <w:t>s responsibility to review, understand, and plan for compliance with all applicable Federal requirements.</w:t>
      </w:r>
      <w:r w:rsidR="00041721">
        <w:rPr>
          <w:rFonts w:cstheme="minorHAnsi"/>
        </w:rPr>
        <w:t xml:space="preserve"> </w:t>
      </w:r>
    </w:p>
    <w:p w14:paraId="36A4A26B" w14:textId="77777777" w:rsidR="00827A4E" w:rsidRDefault="00827A4E" w:rsidP="00F6059E">
      <w:pPr>
        <w:spacing w:after="0" w:line="240" w:lineRule="auto"/>
        <w:jc w:val="both"/>
        <w:rPr>
          <w:rFonts w:cstheme="minorHAnsi"/>
        </w:rPr>
      </w:pPr>
    </w:p>
    <w:p w14:paraId="34973988" w14:textId="4E95F941" w:rsidR="00F6059E" w:rsidRDefault="00041721" w:rsidP="00F6059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Prospective bidders must provide assurance that the contractor is not a debarred or suspended entity, which precludes their ability to work on Federally funded projects.</w:t>
      </w:r>
      <w:r w:rsidR="00827A4E">
        <w:rPr>
          <w:rFonts w:cstheme="minorHAnsi"/>
        </w:rPr>
        <w:t xml:space="preserve"> The contractor shall have a minimum of </w:t>
      </w:r>
      <w:r w:rsidR="006837DD">
        <w:rPr>
          <w:rFonts w:cstheme="minorHAnsi"/>
        </w:rPr>
        <w:t>ten</w:t>
      </w:r>
      <w:r w:rsidR="00827A4E">
        <w:rPr>
          <w:rFonts w:cstheme="minorHAnsi"/>
        </w:rPr>
        <w:t xml:space="preserve"> years’ experience in high voltage transmission line construction (115kV or above), including the installation of OPGW.</w:t>
      </w:r>
    </w:p>
    <w:p w14:paraId="710733AD" w14:textId="77777777" w:rsidR="00F6059E" w:rsidRDefault="00F6059E" w:rsidP="00F6059E">
      <w:pPr>
        <w:spacing w:after="0" w:line="240" w:lineRule="auto"/>
        <w:jc w:val="both"/>
        <w:rPr>
          <w:rFonts w:cstheme="minorHAnsi"/>
        </w:rPr>
      </w:pPr>
    </w:p>
    <w:p w14:paraId="38570EFA" w14:textId="41B366D1" w:rsidR="00F6059E" w:rsidRDefault="00F6059E" w:rsidP="00F6059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All bids submitted shall include the following:</w:t>
      </w:r>
    </w:p>
    <w:p w14:paraId="20E92949" w14:textId="74F97279" w:rsidR="00041721" w:rsidRPr="00041721" w:rsidRDefault="00F6059E" w:rsidP="0004172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Fixed-firm price proposal </w:t>
      </w:r>
      <w:r w:rsidR="005B5E70">
        <w:rPr>
          <w:rFonts w:cstheme="minorHAnsi"/>
        </w:rPr>
        <w:t xml:space="preserve">with a proposed payment scheduled and terms </w:t>
      </w:r>
      <w:r>
        <w:rPr>
          <w:rFonts w:cstheme="minorHAnsi"/>
        </w:rPr>
        <w:t>to complete the identified scope of work</w:t>
      </w:r>
      <w:r w:rsidR="00041721">
        <w:rPr>
          <w:rFonts w:cstheme="minorHAnsi"/>
        </w:rPr>
        <w:t xml:space="preserve">. Note that Midwest will require 10% withholding from each invoice </w:t>
      </w:r>
      <w:r w:rsidR="00C52431">
        <w:rPr>
          <w:rFonts w:cstheme="minorHAnsi"/>
        </w:rPr>
        <w:t xml:space="preserve">to be paid upon </w:t>
      </w:r>
      <w:r w:rsidR="00041721">
        <w:rPr>
          <w:rFonts w:cstheme="minorHAnsi"/>
        </w:rPr>
        <w:t>satisfactory project completion</w:t>
      </w:r>
      <w:r w:rsidR="00C52431">
        <w:rPr>
          <w:rFonts w:cstheme="minorHAnsi"/>
        </w:rPr>
        <w:t>, including compliance with all Federal requirements</w:t>
      </w:r>
      <w:r w:rsidR="00041721">
        <w:rPr>
          <w:rFonts w:cstheme="minorHAnsi"/>
        </w:rPr>
        <w:t>.</w:t>
      </w:r>
    </w:p>
    <w:p w14:paraId="0A129B74" w14:textId="7AF7DD69" w:rsidR="00F6059E" w:rsidRDefault="00041721" w:rsidP="00F605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 detailed p</w:t>
      </w:r>
      <w:r w:rsidR="00F6059E">
        <w:rPr>
          <w:rFonts w:cstheme="minorHAnsi"/>
        </w:rPr>
        <w:t>roject execution plan detailing proposed approach and schedule</w:t>
      </w:r>
      <w:r>
        <w:rPr>
          <w:rFonts w:cstheme="minorHAnsi"/>
        </w:rPr>
        <w:t>.</w:t>
      </w:r>
    </w:p>
    <w:p w14:paraId="254A170B" w14:textId="0A71A76A" w:rsidR="00F6059E" w:rsidRDefault="00F6059E" w:rsidP="00F605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Summary of qualifications including:</w:t>
      </w:r>
    </w:p>
    <w:p w14:paraId="2E83CAAA" w14:textId="6F2F15DA" w:rsidR="00F6059E" w:rsidRDefault="00F6059E" w:rsidP="00F6059E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Recent experience on similar projects</w:t>
      </w:r>
    </w:p>
    <w:p w14:paraId="1F5501B3" w14:textId="7AD2AAD7" w:rsidR="00041721" w:rsidRDefault="00041721" w:rsidP="00F6059E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Key project staff (General Foreman, Foreman, project management)</w:t>
      </w:r>
    </w:p>
    <w:p w14:paraId="5A36C11B" w14:textId="6C293FAA" w:rsidR="00F6059E" w:rsidRDefault="00F6059E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Experience with and plan for adhering to applicable Federal requirements</w:t>
      </w:r>
    </w:p>
    <w:p w14:paraId="4119D537" w14:textId="68931B73" w:rsidR="00AB5048" w:rsidRPr="00F6059E" w:rsidRDefault="00AB5048" w:rsidP="007906A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 completed pre-qualification statement (</w:t>
      </w:r>
      <w:r w:rsidR="00D506B6">
        <w:rPr>
          <w:rFonts w:cstheme="minorHAnsi"/>
        </w:rPr>
        <w:t>more information will be provided to bidders at the pre-bid meeting regarding this statement)</w:t>
      </w:r>
    </w:p>
    <w:p w14:paraId="0720152D" w14:textId="77777777" w:rsidR="00F6059E" w:rsidRDefault="00F6059E" w:rsidP="00F6059E">
      <w:pPr>
        <w:spacing w:after="0" w:line="240" w:lineRule="auto"/>
        <w:jc w:val="both"/>
        <w:rPr>
          <w:rFonts w:cstheme="minorHAnsi"/>
        </w:rPr>
      </w:pPr>
    </w:p>
    <w:p w14:paraId="64937977" w14:textId="0BFF356B" w:rsidR="007E56B6" w:rsidRDefault="00F6059E" w:rsidP="00FF4DEE">
      <w:r>
        <w:t>Project Information:</w:t>
      </w:r>
    </w:p>
    <w:p w14:paraId="0B563204" w14:textId="22D0BD97" w:rsidR="007102D8" w:rsidRDefault="007102D8" w:rsidP="007102D8">
      <w:pPr>
        <w:pStyle w:val="ListParagraph"/>
        <w:numPr>
          <w:ilvl w:val="0"/>
          <w:numId w:val="1"/>
        </w:numPr>
      </w:pPr>
      <w:r>
        <w:t>Schedule</w:t>
      </w:r>
      <w:r w:rsidR="00D956CB">
        <w:t>d</w:t>
      </w:r>
      <w:r>
        <w:t xml:space="preserve"> outage – January 5</w:t>
      </w:r>
      <w:r w:rsidRPr="00FF4DEE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to May 15</w:t>
      </w:r>
      <w:r w:rsidRPr="00FF4DEE">
        <w:rPr>
          <w:vertAlign w:val="superscript"/>
        </w:rPr>
        <w:t>th</w:t>
      </w:r>
      <w:r>
        <w:t xml:space="preserve">, 2026 </w:t>
      </w:r>
    </w:p>
    <w:p w14:paraId="5ACEBDD9" w14:textId="52240BE8" w:rsidR="00C52431" w:rsidRDefault="00C52431" w:rsidP="007102D8">
      <w:pPr>
        <w:pStyle w:val="ListParagraph"/>
        <w:numPr>
          <w:ilvl w:val="0"/>
          <w:numId w:val="1"/>
        </w:numPr>
      </w:pPr>
      <w:r>
        <w:t>Preferred project construction approach:</w:t>
      </w:r>
    </w:p>
    <w:p w14:paraId="04C9737C" w14:textId="7487502D" w:rsidR="007102D8" w:rsidRDefault="007102D8" w:rsidP="007102D8">
      <w:pPr>
        <w:pStyle w:val="ListParagraph"/>
        <w:numPr>
          <w:ilvl w:val="1"/>
          <w:numId w:val="1"/>
        </w:numPr>
      </w:pPr>
      <w:r>
        <w:t>1</w:t>
      </w:r>
      <w:r w:rsidRPr="00612B1A">
        <w:rPr>
          <w:vertAlign w:val="superscript"/>
        </w:rPr>
        <w:t>st</w:t>
      </w:r>
      <w:r>
        <w:t xml:space="preserve"> Phase – 1 week duration - outage from Ness City to Nekoma </w:t>
      </w:r>
      <w:r w:rsidR="00C52431">
        <w:t>to</w:t>
      </w:r>
      <w:r>
        <w:t xml:space="preserve"> install 3</w:t>
      </w:r>
      <w:r w:rsidR="00C52431">
        <w:t>-</w:t>
      </w:r>
      <w:r>
        <w:t xml:space="preserve">pole guyed double </w:t>
      </w:r>
      <w:proofErr w:type="gramStart"/>
      <w:r>
        <w:t>dead end</w:t>
      </w:r>
      <w:proofErr w:type="gramEnd"/>
      <w:r>
        <w:t xml:space="preserve"> structure (Structure #166)</w:t>
      </w:r>
      <w:r w:rsidR="00C52431">
        <w:t xml:space="preserve"> west of Alexander substation</w:t>
      </w:r>
    </w:p>
    <w:p w14:paraId="3F602015" w14:textId="37EA7C14" w:rsidR="007102D8" w:rsidRDefault="007102D8" w:rsidP="007102D8">
      <w:pPr>
        <w:pStyle w:val="ListParagraph"/>
        <w:numPr>
          <w:ilvl w:val="1"/>
          <w:numId w:val="1"/>
        </w:numPr>
      </w:pPr>
      <w:r>
        <w:t>2</w:t>
      </w:r>
      <w:r w:rsidRPr="003A5C29">
        <w:rPr>
          <w:vertAlign w:val="superscript"/>
        </w:rPr>
        <w:t>nd</w:t>
      </w:r>
      <w:r>
        <w:t xml:space="preserve"> Phase – Energize from Structure #166 east to Nekoma to keep on Alexander substation (Lane-Scott) and de-energize from structure #166 west to Ness City. </w:t>
      </w:r>
      <w:r w:rsidR="00C52431">
        <w:t>Tear down and r</w:t>
      </w:r>
      <w:r>
        <w:t>ebuild 17 miles</w:t>
      </w:r>
      <w:r w:rsidR="00C52431">
        <w:t xml:space="preserve"> from Ness City to Structure #166</w:t>
      </w:r>
      <w:r>
        <w:t>.</w:t>
      </w:r>
    </w:p>
    <w:p w14:paraId="0E49D04B" w14:textId="3EB25D5B" w:rsidR="007102D8" w:rsidRDefault="007102D8" w:rsidP="007102D8">
      <w:pPr>
        <w:pStyle w:val="ListParagraph"/>
        <w:numPr>
          <w:ilvl w:val="1"/>
          <w:numId w:val="1"/>
        </w:numPr>
      </w:pPr>
      <w:r>
        <w:t>3</w:t>
      </w:r>
      <w:r w:rsidRPr="007102D8">
        <w:rPr>
          <w:vertAlign w:val="superscript"/>
        </w:rPr>
        <w:t>rd</w:t>
      </w:r>
      <w:r>
        <w:t xml:space="preserve"> Phase – Rebuild 8 miles from structure #166 to Nekoma. Leave Alexander substation de-energized</w:t>
      </w:r>
      <w:r w:rsidR="00784BAD">
        <w:t xml:space="preserve">. </w:t>
      </w:r>
      <w:r w:rsidR="00C52431">
        <w:t xml:space="preserve">First completing </w:t>
      </w:r>
      <w:r w:rsidR="00784BAD">
        <w:t xml:space="preserve">stringing from structure #166 to #178, </w:t>
      </w:r>
      <w:r w:rsidR="00C52431">
        <w:t xml:space="preserve">so </w:t>
      </w:r>
      <w:r w:rsidR="00784BAD">
        <w:t>Alexander substation may be energized in an emergency</w:t>
      </w:r>
      <w:r w:rsidR="00C52431">
        <w:t>.</w:t>
      </w:r>
    </w:p>
    <w:p w14:paraId="15041313" w14:textId="77777777" w:rsidR="007102D8" w:rsidRDefault="007102D8" w:rsidP="007102D8">
      <w:pPr>
        <w:pStyle w:val="ListParagraph"/>
        <w:ind w:left="1440"/>
      </w:pPr>
    </w:p>
    <w:p w14:paraId="1E3580C9" w14:textId="7BD81966" w:rsidR="007E56B6" w:rsidRDefault="00C52431" w:rsidP="00FF4DEE">
      <w:pPr>
        <w:pStyle w:val="ListParagraph"/>
        <w:numPr>
          <w:ilvl w:val="0"/>
          <w:numId w:val="1"/>
        </w:numPr>
      </w:pPr>
      <w:r>
        <w:t xml:space="preserve">The transmission line is comprised of </w:t>
      </w:r>
      <w:r w:rsidR="00051AC4">
        <w:t xml:space="preserve">247 structures – </w:t>
      </w:r>
      <w:r>
        <w:t xml:space="preserve">two </w:t>
      </w:r>
      <w:r w:rsidR="00051AC4">
        <w:t>3</w:t>
      </w:r>
      <w:r>
        <w:t>-</w:t>
      </w:r>
      <w:r w:rsidR="00051AC4">
        <w:t xml:space="preserve">pole dead ends at the substations, </w:t>
      </w:r>
      <w:r>
        <w:t xml:space="preserve">two </w:t>
      </w:r>
      <w:r w:rsidR="00051AC4">
        <w:t>3</w:t>
      </w:r>
      <w:r>
        <w:t>-</w:t>
      </w:r>
      <w:r w:rsidR="00051AC4">
        <w:t>pole double dead ends</w:t>
      </w:r>
      <w:r w:rsidR="00FB37C6">
        <w:t xml:space="preserve"> (#81 &amp; #166)</w:t>
      </w:r>
      <w:r w:rsidR="00051AC4">
        <w:t xml:space="preserve">, </w:t>
      </w:r>
      <w:r>
        <w:t xml:space="preserve">one </w:t>
      </w:r>
      <w:r w:rsidR="00051AC4">
        <w:t>2</w:t>
      </w:r>
      <w:r>
        <w:t>-</w:t>
      </w:r>
      <w:r w:rsidR="00051AC4">
        <w:t>pole double dead end</w:t>
      </w:r>
      <w:r w:rsidR="00FB37C6">
        <w:t xml:space="preserve"> (#178)</w:t>
      </w:r>
      <w:r w:rsidR="00051AC4">
        <w:t xml:space="preserve">, and the remaining being tangent structures. H2 </w:t>
      </w:r>
      <w:r w:rsidR="00617A83">
        <w:t xml:space="preserve">class poles will be used </w:t>
      </w:r>
      <w:r w:rsidR="00051AC4">
        <w:t xml:space="preserve">for </w:t>
      </w:r>
      <w:r w:rsidR="00617A83">
        <w:t>t</w:t>
      </w:r>
      <w:r w:rsidR="00051AC4">
        <w:t>he dead ends</w:t>
      </w:r>
      <w:r>
        <w:t>,</w:t>
      </w:r>
      <w:r w:rsidR="00051AC4">
        <w:t xml:space="preserve"> and Class 1 poles </w:t>
      </w:r>
      <w:r>
        <w:t xml:space="preserve">will be used </w:t>
      </w:r>
      <w:r w:rsidR="00051AC4">
        <w:t xml:space="preserve">for the tangent structures. </w:t>
      </w:r>
      <w:r w:rsidR="00110F82">
        <w:t xml:space="preserve">There are </w:t>
      </w:r>
      <w:r>
        <w:t>four</w:t>
      </w:r>
      <w:r w:rsidR="00110F82">
        <w:t xml:space="preserve"> structures that have been </w:t>
      </w:r>
      <w:r w:rsidR="00617A83">
        <w:t xml:space="preserve">replaced in recent </w:t>
      </w:r>
      <w:proofErr w:type="gramStart"/>
      <w:r w:rsidR="00617A83">
        <w:t>years</w:t>
      </w:r>
      <w:r w:rsidR="00FB37C6">
        <w:t xml:space="preserve"> (#189, #201, #211 &amp; #</w:t>
      </w:r>
      <w:proofErr w:type="gramEnd"/>
      <w:r w:rsidR="00FB37C6">
        <w:t>212)</w:t>
      </w:r>
      <w:r w:rsidR="00617A83">
        <w:t xml:space="preserve">, </w:t>
      </w:r>
      <w:r w:rsidR="00110F82">
        <w:t xml:space="preserve">and they will remain. </w:t>
      </w:r>
      <w:r w:rsidR="00617A83">
        <w:t xml:space="preserve">They are identified in the </w:t>
      </w:r>
      <w:r w:rsidR="00400FF8">
        <w:t>con</w:t>
      </w:r>
      <w:r w:rsidR="00FB37C6">
        <w:t>struction plan</w:t>
      </w:r>
      <w:r w:rsidR="00400FF8">
        <w:t xml:space="preserve"> drawings</w:t>
      </w:r>
      <w:r w:rsidR="00617A83">
        <w:t xml:space="preserve">. </w:t>
      </w:r>
      <w:r w:rsidR="00784BAD">
        <w:t xml:space="preserve">New construction includes stringing in </w:t>
      </w:r>
      <w:r w:rsidR="00FB37C6">
        <w:t>one</w:t>
      </w:r>
      <w:r w:rsidR="00784BAD">
        <w:t xml:space="preserve"> 3/8” EHS steel static shield wire, </w:t>
      </w:r>
      <w:r w:rsidR="00FB37C6">
        <w:t>one</w:t>
      </w:r>
      <w:r w:rsidR="00784BAD">
        <w:t xml:space="preserve"> optical ground wire (OPGW), and </w:t>
      </w:r>
      <w:r>
        <w:t>three</w:t>
      </w:r>
      <w:r w:rsidR="00784BAD">
        <w:t xml:space="preserve"> phases of 795 ACSR (Drake) conductor.</w:t>
      </w:r>
      <w:r w:rsidR="00A50970">
        <w:t xml:space="preserve"> Static shield wire reels are approximately 5,000 feet, OPGW reels are </w:t>
      </w:r>
      <w:r w:rsidR="00495588">
        <w:t>approximately 22,000 feet, and 795 ACSR reels are approximately 10,000 feet.</w:t>
      </w:r>
    </w:p>
    <w:p w14:paraId="750442CD" w14:textId="77777777" w:rsidR="00400FF8" w:rsidRDefault="00400FF8" w:rsidP="00400FF8">
      <w:pPr>
        <w:pStyle w:val="ListParagraph"/>
      </w:pPr>
    </w:p>
    <w:p w14:paraId="161F9511" w14:textId="0A4B4B03" w:rsidR="00400FF8" w:rsidRDefault="00827A4E" w:rsidP="00400FF8">
      <w:pPr>
        <w:pStyle w:val="ListParagraph"/>
        <w:numPr>
          <w:ilvl w:val="0"/>
          <w:numId w:val="1"/>
        </w:numPr>
      </w:pPr>
      <w:r>
        <w:t xml:space="preserve">All transmission line structure materials and hardware shall be provided by Midwest Energy. </w:t>
      </w:r>
      <w:r w:rsidR="00400FF8">
        <w:t xml:space="preserve">A leased laydown area for material storage and equipment is located at 218 W Washington, Bazine KS 67516. The contactor is responsible for their own construction power at the site. </w:t>
      </w:r>
      <w:r w:rsidR="00400FF8">
        <w:lastRenderedPageBreak/>
        <w:t xml:space="preserve">Midwest Energy has </w:t>
      </w:r>
      <w:r>
        <w:t>three</w:t>
      </w:r>
      <w:r w:rsidR="00400FF8">
        <w:t xml:space="preserve"> Connex boxes for storage of materials. All material will be located at the material laydown area</w:t>
      </w:r>
      <w:r>
        <w:t xml:space="preserve"> prior to contractor mobilization</w:t>
      </w:r>
      <w:r w:rsidR="00400FF8">
        <w:t>, except for the poles. Poles will be dropped near structure locations based on construction staking</w:t>
      </w:r>
      <w:r>
        <w:t>,</w:t>
      </w:r>
      <w:r w:rsidR="00400FF8">
        <w:t xml:space="preserve"> and</w:t>
      </w:r>
      <w:r>
        <w:t xml:space="preserve"> it</w:t>
      </w:r>
      <w:r w:rsidR="00400FF8">
        <w:t xml:space="preserve"> is the responsibility of the contractor to coordinate delivery of poles as the construction progresses with Bell Lumber &amp; Pole company.</w:t>
      </w:r>
      <w:r>
        <w:t xml:space="preserve"> Contact information to be provided by Midwest Energy.</w:t>
      </w:r>
    </w:p>
    <w:p w14:paraId="54A665F8" w14:textId="77777777" w:rsidR="00400FF8" w:rsidRDefault="00400FF8" w:rsidP="00400FF8">
      <w:pPr>
        <w:pStyle w:val="ListParagraph"/>
      </w:pPr>
    </w:p>
    <w:p w14:paraId="55602D8A" w14:textId="2E568F60" w:rsidR="00400FF8" w:rsidRDefault="00400FF8" w:rsidP="00400FF8">
      <w:pPr>
        <w:pStyle w:val="ListParagraph"/>
        <w:numPr>
          <w:ilvl w:val="0"/>
          <w:numId w:val="1"/>
        </w:numPr>
      </w:pPr>
      <w:r>
        <w:t>Landowners will be notified by</w:t>
      </w:r>
      <w:r w:rsidR="00827A4E">
        <w:t xml:space="preserve"> Midwest Energy via</w:t>
      </w:r>
      <w:r>
        <w:t xml:space="preserve"> letter that the awarded contractor will be contacting them to enter their property during the construction. It is the contractor’s responsibility to contact the landowners about access to </w:t>
      </w:r>
      <w:r w:rsidR="00827A4E">
        <w:t>each</w:t>
      </w:r>
      <w:r>
        <w:t xml:space="preserve"> property. Negotiating </w:t>
      </w:r>
      <w:proofErr w:type="gramStart"/>
      <w:r>
        <w:t>crop</w:t>
      </w:r>
      <w:proofErr w:type="gramEnd"/>
      <w:r>
        <w:t xml:space="preserve"> </w:t>
      </w:r>
      <w:r w:rsidR="00827A4E">
        <w:t xml:space="preserve">and other land </w:t>
      </w:r>
      <w:r>
        <w:t>damage amounts with landowners will be the responsibility of the contractor in coordination with the manager of transmission construction for Midwest Energy. A landowner list and crop damage guidelines will be provided to the contractor</w:t>
      </w:r>
      <w:r w:rsidR="00827A4E">
        <w:t xml:space="preserve"> by Midwest Energy</w:t>
      </w:r>
      <w:r>
        <w:t xml:space="preserve">. </w:t>
      </w:r>
    </w:p>
    <w:p w14:paraId="33C5430D" w14:textId="77777777" w:rsidR="00400FF8" w:rsidRDefault="00400FF8" w:rsidP="00400FF8">
      <w:pPr>
        <w:pStyle w:val="ListParagraph"/>
      </w:pPr>
    </w:p>
    <w:p w14:paraId="1F49BEE7" w14:textId="37023C10" w:rsidR="00400FF8" w:rsidRDefault="00400FF8" w:rsidP="00400FF8">
      <w:pPr>
        <w:pStyle w:val="ListParagraph"/>
        <w:numPr>
          <w:ilvl w:val="0"/>
          <w:numId w:val="1"/>
        </w:numPr>
      </w:pPr>
      <w:r>
        <w:t xml:space="preserve">Line construction staking will be the responsibility of the line contractor. Staking tables are provided in the plans. </w:t>
      </w:r>
    </w:p>
    <w:p w14:paraId="2EAD5A8E" w14:textId="77777777" w:rsidR="003C6E97" w:rsidRDefault="003C6E97" w:rsidP="003C6E97">
      <w:pPr>
        <w:pStyle w:val="ListParagraph"/>
      </w:pPr>
    </w:p>
    <w:p w14:paraId="39C3FC28" w14:textId="6D917190" w:rsidR="003C6E97" w:rsidRDefault="003C6E97" w:rsidP="00400FF8">
      <w:pPr>
        <w:pStyle w:val="ListParagraph"/>
        <w:numPr>
          <w:ilvl w:val="0"/>
          <w:numId w:val="1"/>
        </w:numPr>
      </w:pPr>
      <w:r>
        <w:t xml:space="preserve">The contractor will be responsible for any tree clearing needed for access or construction and will dispose of the trees. </w:t>
      </w:r>
    </w:p>
    <w:p w14:paraId="6B91BB81" w14:textId="77777777" w:rsidR="00400FF8" w:rsidRDefault="00400FF8" w:rsidP="00400FF8">
      <w:pPr>
        <w:pStyle w:val="ListParagraph"/>
      </w:pPr>
    </w:p>
    <w:p w14:paraId="208789F7" w14:textId="79B380EA" w:rsidR="00400FF8" w:rsidRDefault="00400FF8" w:rsidP="00400FF8">
      <w:pPr>
        <w:pStyle w:val="ListParagraph"/>
        <w:numPr>
          <w:ilvl w:val="0"/>
          <w:numId w:val="1"/>
        </w:numPr>
      </w:pPr>
      <w:r>
        <w:t xml:space="preserve">The poles and the crossarms of the truss assemblies will not be pre-drilled. The contractor will be responsible for drilling these holes during construction. </w:t>
      </w:r>
    </w:p>
    <w:p w14:paraId="0C1E7386" w14:textId="77777777" w:rsidR="00400FF8" w:rsidRDefault="00400FF8" w:rsidP="00400FF8">
      <w:pPr>
        <w:pStyle w:val="ListParagraph"/>
      </w:pPr>
    </w:p>
    <w:p w14:paraId="074299A6" w14:textId="49F6AC86" w:rsidR="00400FF8" w:rsidRPr="00903F31" w:rsidRDefault="00400FF8" w:rsidP="00400FF8">
      <w:pPr>
        <w:pStyle w:val="ListParagraph"/>
        <w:numPr>
          <w:ilvl w:val="0"/>
          <w:numId w:val="1"/>
        </w:numPr>
      </w:pPr>
      <w:r>
        <w:t xml:space="preserve">New poles </w:t>
      </w:r>
      <w:r w:rsidR="00827A4E">
        <w:t>shall</w:t>
      </w:r>
      <w:r>
        <w:t xml:space="preserve"> be backfilled with crushed aggregate (KDOT Specification 1104 Type AB-3) Aggregate to be provided by the contractor. Based on a 6” annulus around the pole, an estimate of 650 CY aggregate will be needed. This quantity may vary based on auger diameter to pole </w:t>
      </w:r>
      <w:r w:rsidRPr="00903F31">
        <w:t>diameters. Aggregate will need to be BABA compliant</w:t>
      </w:r>
      <w:r w:rsidR="00FB37C6">
        <w:t>, and the contractor must provide BABA certification documents to Midwest Energy</w:t>
      </w:r>
      <w:r w:rsidRPr="00903F31">
        <w:t>.</w:t>
      </w:r>
    </w:p>
    <w:p w14:paraId="210D311A" w14:textId="77777777" w:rsidR="00400FF8" w:rsidRPr="00903F31" w:rsidRDefault="00400FF8" w:rsidP="00400FF8">
      <w:pPr>
        <w:pStyle w:val="ListParagraph"/>
      </w:pPr>
    </w:p>
    <w:p w14:paraId="7D6DD49E" w14:textId="6B505084" w:rsidR="00400FF8" w:rsidRDefault="00400FF8" w:rsidP="00400FF8">
      <w:pPr>
        <w:pStyle w:val="ListParagraph"/>
        <w:numPr>
          <w:ilvl w:val="0"/>
          <w:numId w:val="1"/>
        </w:numPr>
      </w:pPr>
      <w:r w:rsidRPr="00903F31">
        <w:t xml:space="preserve">The contractor will need DMC Power tooling and dies for the compression dead ends and compression splices for the 795 ACSR conductor. The 3/8” shield wire will use compression dead </w:t>
      </w:r>
      <w:r>
        <w:t xml:space="preserve">ends and splices which will need steel hex dies (14SH). The OPGW dead ends will be </w:t>
      </w:r>
      <w:r w:rsidRPr="00903F31">
        <w:t>bolted. All required tooling to be provided by the contractor.</w:t>
      </w:r>
    </w:p>
    <w:p w14:paraId="50C70D01" w14:textId="77777777" w:rsidR="00784BAD" w:rsidRDefault="00784BAD" w:rsidP="00784BAD">
      <w:pPr>
        <w:pStyle w:val="ListParagraph"/>
      </w:pPr>
    </w:p>
    <w:p w14:paraId="5CD77597" w14:textId="0DB02243" w:rsidR="00784BAD" w:rsidRDefault="00784BAD" w:rsidP="00400FF8">
      <w:pPr>
        <w:pStyle w:val="ListParagraph"/>
        <w:numPr>
          <w:ilvl w:val="0"/>
          <w:numId w:val="1"/>
        </w:numPr>
      </w:pPr>
      <w:r>
        <w:t>The contractor will be responsible for the splicing of the OPGW</w:t>
      </w:r>
      <w:r w:rsidR="00A50970">
        <w:t xml:space="preserve"> outside of substations. Expect to </w:t>
      </w:r>
      <w:r w:rsidR="00827A4E">
        <w:t>complete</w:t>
      </w:r>
      <w:r w:rsidR="00A50970">
        <w:t xml:space="preserve"> </w:t>
      </w:r>
      <w:r w:rsidR="00495588">
        <w:t>5-7</w:t>
      </w:r>
      <w:r w:rsidR="00A50970">
        <w:t xml:space="preserve"> splices based on OPGW reel lengths.</w:t>
      </w:r>
      <w:r w:rsidR="004432EE">
        <w:t xml:space="preserve"> Proposed splice locations </w:t>
      </w:r>
      <w:proofErr w:type="gramStart"/>
      <w:r w:rsidR="004432EE">
        <w:t>shall</w:t>
      </w:r>
      <w:proofErr w:type="gramEnd"/>
      <w:r w:rsidR="004432EE">
        <w:t xml:space="preserve"> be placed as close as possible to road crossings and shall be approved by Midwest Energy prior to construction.</w:t>
      </w:r>
      <w:r w:rsidR="00A50970">
        <w:t xml:space="preserve"> The splicing inside the substations will be </w:t>
      </w:r>
      <w:r w:rsidR="00827A4E">
        <w:t>completed</w:t>
      </w:r>
      <w:r w:rsidR="00A50970">
        <w:t xml:space="preserve"> by Midwest Energy personnel. </w:t>
      </w:r>
    </w:p>
    <w:p w14:paraId="7BE5CD91" w14:textId="77777777" w:rsidR="00400FF8" w:rsidRDefault="00400FF8" w:rsidP="00400FF8">
      <w:pPr>
        <w:pStyle w:val="ListParagraph"/>
      </w:pPr>
    </w:p>
    <w:p w14:paraId="5DC8D024" w14:textId="08F3C7A9" w:rsidR="00400FF8" w:rsidRDefault="00784BAD" w:rsidP="00400FF8">
      <w:pPr>
        <w:pStyle w:val="ListParagraph"/>
        <w:numPr>
          <w:ilvl w:val="0"/>
          <w:numId w:val="1"/>
        </w:numPr>
      </w:pPr>
      <w:r>
        <w:t>The contractor</w:t>
      </w:r>
      <w:r w:rsidR="00400FF8">
        <w:t xml:space="preserve"> will be responsible for disposing of the retired line</w:t>
      </w:r>
      <w:r w:rsidR="00827A4E">
        <w:t xml:space="preserve"> structures and materials</w:t>
      </w:r>
      <w:r w:rsidR="00400FF8">
        <w:t xml:space="preserve">. Disposal of old material and disposal costs will be the responsibility of the contractor. </w:t>
      </w:r>
      <w:r w:rsidR="00827A4E">
        <w:t xml:space="preserve">Proceeds </w:t>
      </w:r>
      <w:r w:rsidR="00400FF8">
        <w:t xml:space="preserve">from </w:t>
      </w:r>
      <w:r w:rsidR="00827A4E">
        <w:t>any</w:t>
      </w:r>
      <w:r w:rsidR="00400FF8">
        <w:t xml:space="preserve"> salvage of old materials will be kept by the contractor. Old poles will be removed in their entirety out of the ground and backfilled with dirt. There are </w:t>
      </w:r>
      <w:r w:rsidR="00827A4E">
        <w:t xml:space="preserve">two </w:t>
      </w:r>
      <w:r w:rsidR="00400FF8">
        <w:t xml:space="preserve">3/8” </w:t>
      </w:r>
      <w:r w:rsidR="00827A4E">
        <w:t xml:space="preserve">EHS </w:t>
      </w:r>
      <w:r w:rsidR="00400FF8">
        <w:t xml:space="preserve">static wires and </w:t>
      </w:r>
      <w:r w:rsidR="00827A4E">
        <w:t xml:space="preserve">three </w:t>
      </w:r>
      <w:r w:rsidR="00400FF8">
        <w:t xml:space="preserve">266 ACSR </w:t>
      </w:r>
      <w:r w:rsidR="00827A4E">
        <w:t xml:space="preserve">phase </w:t>
      </w:r>
      <w:r>
        <w:t>c</w:t>
      </w:r>
      <w:r w:rsidR="00400FF8">
        <w:t>onductors to be retired.</w:t>
      </w:r>
    </w:p>
    <w:p w14:paraId="7518025B" w14:textId="77777777" w:rsidR="00400FF8" w:rsidRDefault="00400FF8" w:rsidP="00400FF8">
      <w:pPr>
        <w:pStyle w:val="ListParagraph"/>
      </w:pPr>
    </w:p>
    <w:p w14:paraId="5E6D209D" w14:textId="399240E9" w:rsidR="00400FF8" w:rsidRDefault="00400FF8" w:rsidP="00400FF8">
      <w:pPr>
        <w:pStyle w:val="ListParagraph"/>
        <w:numPr>
          <w:ilvl w:val="0"/>
          <w:numId w:val="1"/>
        </w:numPr>
      </w:pPr>
      <w:r>
        <w:t xml:space="preserve">Excess material from this project will be the responsibility of the contractor to </w:t>
      </w:r>
      <w:proofErr w:type="gramStart"/>
      <w:r w:rsidR="00495588">
        <w:t>transport</w:t>
      </w:r>
      <w:r>
        <w:t xml:space="preserve"> </w:t>
      </w:r>
      <w:r w:rsidR="00495588">
        <w:t>to</w:t>
      </w:r>
      <w:proofErr w:type="gramEnd"/>
      <w:r w:rsidR="00495588">
        <w:t xml:space="preserve"> </w:t>
      </w:r>
      <w:r>
        <w:t xml:space="preserve">1794 Country Club Drive, Colby, KS 67701. </w:t>
      </w:r>
      <w:r w:rsidR="00827A4E">
        <w:t>Expected r</w:t>
      </w:r>
      <w:r>
        <w:t>emaining material to include:</w:t>
      </w:r>
    </w:p>
    <w:p w14:paraId="1B891721" w14:textId="77777777" w:rsidR="00400FF8" w:rsidRDefault="00400FF8" w:rsidP="00400FF8">
      <w:pPr>
        <w:pStyle w:val="ListParagraph"/>
        <w:numPr>
          <w:ilvl w:val="1"/>
          <w:numId w:val="1"/>
        </w:numPr>
      </w:pPr>
      <w:r>
        <w:t>Up to 5 truss assemblies</w:t>
      </w:r>
    </w:p>
    <w:p w14:paraId="75491CA2" w14:textId="77777777" w:rsidR="00400FF8" w:rsidRDefault="00400FF8" w:rsidP="00400FF8">
      <w:pPr>
        <w:pStyle w:val="ListParagraph"/>
        <w:numPr>
          <w:ilvl w:val="1"/>
          <w:numId w:val="1"/>
        </w:numPr>
      </w:pPr>
      <w:r>
        <w:t>Up to 10 poles</w:t>
      </w:r>
    </w:p>
    <w:p w14:paraId="10DC7647" w14:textId="77777777" w:rsidR="00400FF8" w:rsidRDefault="00400FF8" w:rsidP="00400FF8">
      <w:pPr>
        <w:pStyle w:val="ListParagraph"/>
        <w:numPr>
          <w:ilvl w:val="1"/>
          <w:numId w:val="1"/>
        </w:numPr>
      </w:pPr>
      <w:r>
        <w:t>3 Connex boxes, including the material inside</w:t>
      </w:r>
    </w:p>
    <w:p w14:paraId="74B24C58" w14:textId="77777777" w:rsidR="00400FF8" w:rsidRDefault="00400FF8" w:rsidP="00400FF8">
      <w:pPr>
        <w:pStyle w:val="ListParagraph"/>
        <w:numPr>
          <w:ilvl w:val="1"/>
          <w:numId w:val="1"/>
        </w:numPr>
      </w:pPr>
      <w:r>
        <w:t>Up to 2 reels of OPGW, 4 reels of 795 ACSR conductor, and 2 reels of 3/8” EHS Steel Wire</w:t>
      </w:r>
    </w:p>
    <w:p w14:paraId="79BB7827" w14:textId="77777777" w:rsidR="007F532B" w:rsidRDefault="007F532B" w:rsidP="007F532B">
      <w:pPr>
        <w:rPr>
          <w:color w:val="EE0000"/>
        </w:rPr>
      </w:pPr>
    </w:p>
    <w:p w14:paraId="2DBFD39F" w14:textId="77777777" w:rsidR="007F532B" w:rsidRPr="007F532B" w:rsidRDefault="007F532B" w:rsidP="007F532B">
      <w:pPr>
        <w:rPr>
          <w:color w:val="EE0000"/>
        </w:rPr>
      </w:pPr>
    </w:p>
    <w:sectPr w:rsidR="007F532B" w:rsidRPr="007F5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95644"/>
    <w:multiLevelType w:val="hybridMultilevel"/>
    <w:tmpl w:val="888CD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1A9B"/>
    <w:multiLevelType w:val="hybridMultilevel"/>
    <w:tmpl w:val="CF00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A111A"/>
    <w:multiLevelType w:val="hybridMultilevel"/>
    <w:tmpl w:val="3DCC1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F684C"/>
    <w:multiLevelType w:val="hybridMultilevel"/>
    <w:tmpl w:val="B6963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159573">
    <w:abstractNumId w:val="3"/>
  </w:num>
  <w:num w:numId="2" w16cid:durableId="2123767466">
    <w:abstractNumId w:val="0"/>
  </w:num>
  <w:num w:numId="3" w16cid:durableId="1783450766">
    <w:abstractNumId w:val="1"/>
  </w:num>
  <w:num w:numId="4" w16cid:durableId="1974944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F2"/>
    <w:rsid w:val="00031BAF"/>
    <w:rsid w:val="00031EDA"/>
    <w:rsid w:val="00037747"/>
    <w:rsid w:val="00041721"/>
    <w:rsid w:val="00051AC4"/>
    <w:rsid w:val="000667D3"/>
    <w:rsid w:val="000746E1"/>
    <w:rsid w:val="00094B2D"/>
    <w:rsid w:val="00110F82"/>
    <w:rsid w:val="001C6F4E"/>
    <w:rsid w:val="001E1CB2"/>
    <w:rsid w:val="001F3251"/>
    <w:rsid w:val="002131BA"/>
    <w:rsid w:val="00214CFE"/>
    <w:rsid w:val="0021775A"/>
    <w:rsid w:val="00217DBF"/>
    <w:rsid w:val="002403F5"/>
    <w:rsid w:val="0025100A"/>
    <w:rsid w:val="00261DCC"/>
    <w:rsid w:val="002768ED"/>
    <w:rsid w:val="002810FC"/>
    <w:rsid w:val="002E5586"/>
    <w:rsid w:val="003079E2"/>
    <w:rsid w:val="00317049"/>
    <w:rsid w:val="003263E8"/>
    <w:rsid w:val="00347226"/>
    <w:rsid w:val="00355820"/>
    <w:rsid w:val="00391836"/>
    <w:rsid w:val="003A5C29"/>
    <w:rsid w:val="003B619E"/>
    <w:rsid w:val="003C6E97"/>
    <w:rsid w:val="00400FF8"/>
    <w:rsid w:val="004432EE"/>
    <w:rsid w:val="00462C85"/>
    <w:rsid w:val="0048136B"/>
    <w:rsid w:val="00495588"/>
    <w:rsid w:val="00501DAF"/>
    <w:rsid w:val="0051491A"/>
    <w:rsid w:val="00570EB3"/>
    <w:rsid w:val="0057271F"/>
    <w:rsid w:val="00592C63"/>
    <w:rsid w:val="005B5E70"/>
    <w:rsid w:val="00612B1A"/>
    <w:rsid w:val="00617A83"/>
    <w:rsid w:val="00625487"/>
    <w:rsid w:val="0063480B"/>
    <w:rsid w:val="006805D0"/>
    <w:rsid w:val="006837DD"/>
    <w:rsid w:val="00687661"/>
    <w:rsid w:val="006D1ED5"/>
    <w:rsid w:val="00703D75"/>
    <w:rsid w:val="00705396"/>
    <w:rsid w:val="007102D8"/>
    <w:rsid w:val="0074328D"/>
    <w:rsid w:val="0076441E"/>
    <w:rsid w:val="00777E60"/>
    <w:rsid w:val="00784762"/>
    <w:rsid w:val="00784BAD"/>
    <w:rsid w:val="007906A6"/>
    <w:rsid w:val="007A03D6"/>
    <w:rsid w:val="007E115D"/>
    <w:rsid w:val="007E56B6"/>
    <w:rsid w:val="007F532B"/>
    <w:rsid w:val="00827A4E"/>
    <w:rsid w:val="00831269"/>
    <w:rsid w:val="00854195"/>
    <w:rsid w:val="008570EB"/>
    <w:rsid w:val="008D5EA8"/>
    <w:rsid w:val="008F0FF2"/>
    <w:rsid w:val="00903F31"/>
    <w:rsid w:val="0093729E"/>
    <w:rsid w:val="009545F8"/>
    <w:rsid w:val="00965564"/>
    <w:rsid w:val="00976E3E"/>
    <w:rsid w:val="009938D2"/>
    <w:rsid w:val="00994707"/>
    <w:rsid w:val="009D4D21"/>
    <w:rsid w:val="00A44F54"/>
    <w:rsid w:val="00A50970"/>
    <w:rsid w:val="00A84012"/>
    <w:rsid w:val="00AB5048"/>
    <w:rsid w:val="00AD6EF8"/>
    <w:rsid w:val="00B70269"/>
    <w:rsid w:val="00B81DB1"/>
    <w:rsid w:val="00BA0862"/>
    <w:rsid w:val="00BA6CC4"/>
    <w:rsid w:val="00C47C91"/>
    <w:rsid w:val="00C52431"/>
    <w:rsid w:val="00C87634"/>
    <w:rsid w:val="00C93562"/>
    <w:rsid w:val="00C93FEA"/>
    <w:rsid w:val="00CB43A9"/>
    <w:rsid w:val="00CE73FE"/>
    <w:rsid w:val="00D17626"/>
    <w:rsid w:val="00D30BB1"/>
    <w:rsid w:val="00D506B6"/>
    <w:rsid w:val="00D956CB"/>
    <w:rsid w:val="00DF0848"/>
    <w:rsid w:val="00E05EFC"/>
    <w:rsid w:val="00E20E3A"/>
    <w:rsid w:val="00E23C03"/>
    <w:rsid w:val="00E842DF"/>
    <w:rsid w:val="00EC6A87"/>
    <w:rsid w:val="00EE3395"/>
    <w:rsid w:val="00EE746E"/>
    <w:rsid w:val="00F212EF"/>
    <w:rsid w:val="00F37CAE"/>
    <w:rsid w:val="00F6059E"/>
    <w:rsid w:val="00FB37C6"/>
    <w:rsid w:val="00FB6202"/>
    <w:rsid w:val="00FF418F"/>
    <w:rsid w:val="00FF4DEE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34FA0"/>
  <w15:chartTrackingRefBased/>
  <w15:docId w15:val="{22A8CE3A-725E-47E2-B35F-9CAEF760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FF2"/>
    <w:pPr>
      <w:ind w:left="720"/>
      <w:contextualSpacing/>
    </w:pPr>
  </w:style>
  <w:style w:type="paragraph" w:styleId="Revision">
    <w:name w:val="Revision"/>
    <w:hidden/>
    <w:uiPriority w:val="99"/>
    <w:semiHidden/>
    <w:rsid w:val="00B81DB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24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24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4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4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431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B37C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Mazouch</dc:creator>
  <cp:keywords/>
  <dc:description/>
  <cp:lastModifiedBy>Stephen Mazouch</cp:lastModifiedBy>
  <cp:revision>5</cp:revision>
  <dcterms:created xsi:type="dcterms:W3CDTF">2025-10-10T14:11:00Z</dcterms:created>
  <dcterms:modified xsi:type="dcterms:W3CDTF">2025-10-13T15:37:00Z</dcterms:modified>
</cp:coreProperties>
</file>